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CA" w:rsidRPr="00591BD4" w:rsidRDefault="00591BD4" w:rsidP="00591BD4">
      <w:pPr>
        <w:spacing w:after="0"/>
        <w:jc w:val="center"/>
        <w:rPr>
          <w:b/>
          <w:sz w:val="36"/>
          <w:lang w:val="ro-RO"/>
        </w:rPr>
      </w:pPr>
      <w:r w:rsidRPr="00591BD4">
        <w:rPr>
          <w:b/>
          <w:sz w:val="36"/>
        </w:rPr>
        <w:t>PUNCT DE VEDERE AL AMCHAM ROM</w:t>
      </w:r>
      <w:r w:rsidRPr="00591BD4">
        <w:rPr>
          <w:b/>
          <w:sz w:val="36"/>
          <w:lang w:val="ro-RO"/>
        </w:rPr>
        <w:t xml:space="preserve">ÂNIA </w:t>
      </w:r>
    </w:p>
    <w:p w:rsidR="00591BD4" w:rsidRPr="00591BD4" w:rsidRDefault="00591BD4" w:rsidP="00591BD4">
      <w:pPr>
        <w:spacing w:after="0"/>
        <w:jc w:val="center"/>
        <w:rPr>
          <w:b/>
          <w:i/>
          <w:sz w:val="32"/>
          <w:lang w:val="ro-RO"/>
        </w:rPr>
      </w:pPr>
      <w:r w:rsidRPr="00591BD4">
        <w:rPr>
          <w:b/>
          <w:i/>
          <w:sz w:val="32"/>
          <w:lang w:val="ro-RO"/>
        </w:rPr>
        <w:t>MEMORANDUM – Măsuri privind debirocratizarea pentru sprijinirea mediului de afaceri românesc</w:t>
      </w:r>
    </w:p>
    <w:p w:rsidR="00591BD4" w:rsidRDefault="00591BD4" w:rsidP="00591BD4">
      <w:pPr>
        <w:spacing w:after="0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968"/>
        <w:gridCol w:w="5400"/>
      </w:tblGrid>
      <w:tr w:rsidR="00591BD4" w:rsidTr="00591BD4">
        <w:trPr>
          <w:trHeight w:val="372"/>
        </w:trPr>
        <w:tc>
          <w:tcPr>
            <w:tcW w:w="3487" w:type="dxa"/>
            <w:shd w:val="clear" w:color="auto" w:fill="DEEAF6" w:themeFill="accent1" w:themeFillTint="33"/>
          </w:tcPr>
          <w:p w:rsidR="00591BD4" w:rsidRPr="00591BD4" w:rsidRDefault="00591BD4" w:rsidP="00591BD4">
            <w:pPr>
              <w:spacing w:line="276" w:lineRule="auto"/>
              <w:jc w:val="center"/>
              <w:rPr>
                <w:b/>
                <w:sz w:val="24"/>
                <w:lang w:val="ro-RO"/>
              </w:rPr>
            </w:pPr>
            <w:r w:rsidRPr="00591BD4">
              <w:rPr>
                <w:b/>
                <w:sz w:val="24"/>
                <w:lang w:val="ro-RO"/>
              </w:rPr>
              <w:t xml:space="preserve">MĂSURA X * 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:rsidR="00591BD4" w:rsidRPr="00591BD4" w:rsidRDefault="00591BD4" w:rsidP="00591BD4">
            <w:pPr>
              <w:spacing w:line="276" w:lineRule="auto"/>
              <w:jc w:val="center"/>
              <w:rPr>
                <w:b/>
                <w:sz w:val="24"/>
                <w:lang w:val="ro-RO"/>
              </w:rPr>
            </w:pPr>
            <w:r w:rsidRPr="00591BD4">
              <w:rPr>
                <w:b/>
                <w:sz w:val="24"/>
                <w:lang w:val="ro-RO"/>
              </w:rPr>
              <w:t>FORMA ACTUALĂ</w:t>
            </w:r>
          </w:p>
        </w:tc>
        <w:tc>
          <w:tcPr>
            <w:tcW w:w="5400" w:type="dxa"/>
            <w:shd w:val="clear" w:color="auto" w:fill="DEEAF6" w:themeFill="accent1" w:themeFillTint="33"/>
          </w:tcPr>
          <w:p w:rsidR="00591BD4" w:rsidRPr="00591BD4" w:rsidRDefault="001E0105" w:rsidP="00591BD4">
            <w:pPr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PROPUNERI / </w:t>
            </w:r>
            <w:r w:rsidR="00591BD4" w:rsidRPr="00591BD4">
              <w:rPr>
                <w:b/>
                <w:sz w:val="24"/>
                <w:lang w:val="ro-RO"/>
              </w:rPr>
              <w:t>AMENDAMENTE / OBSERVAȚII</w:t>
            </w:r>
          </w:p>
        </w:tc>
      </w:tr>
      <w:tr w:rsidR="00591BD4" w:rsidTr="00591BD4">
        <w:tc>
          <w:tcPr>
            <w:tcW w:w="3487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  <w:bookmarkStart w:id="0" w:name="_GoBack" w:colFirst="0" w:colLast="2"/>
          </w:p>
        </w:tc>
        <w:tc>
          <w:tcPr>
            <w:tcW w:w="4968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00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</w:tr>
      <w:tr w:rsidR="00591BD4" w:rsidTr="00591BD4">
        <w:tc>
          <w:tcPr>
            <w:tcW w:w="3487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4968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00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</w:tr>
      <w:tr w:rsidR="00591BD4" w:rsidTr="00591BD4">
        <w:tc>
          <w:tcPr>
            <w:tcW w:w="3487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4968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00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</w:tr>
      <w:tr w:rsidR="00591BD4" w:rsidTr="00591BD4">
        <w:tc>
          <w:tcPr>
            <w:tcW w:w="3487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4968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00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</w:tr>
      <w:tr w:rsidR="00591BD4" w:rsidTr="00591BD4">
        <w:tc>
          <w:tcPr>
            <w:tcW w:w="3487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4968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00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</w:tr>
      <w:tr w:rsidR="00591BD4" w:rsidTr="00591BD4">
        <w:tc>
          <w:tcPr>
            <w:tcW w:w="3487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4968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00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</w:tr>
      <w:tr w:rsidR="00591BD4" w:rsidTr="00591BD4">
        <w:tc>
          <w:tcPr>
            <w:tcW w:w="3487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4968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00" w:type="dxa"/>
          </w:tcPr>
          <w:p w:rsidR="00591BD4" w:rsidRPr="001E0105" w:rsidRDefault="00591BD4" w:rsidP="00591BD4">
            <w:pPr>
              <w:spacing w:before="240" w:line="276" w:lineRule="auto"/>
              <w:jc w:val="center"/>
              <w:rPr>
                <w:b/>
                <w:lang w:val="ro-RO"/>
              </w:rPr>
            </w:pPr>
          </w:p>
        </w:tc>
      </w:tr>
      <w:bookmarkEnd w:id="0"/>
    </w:tbl>
    <w:p w:rsidR="00591BD4" w:rsidRDefault="00591BD4" w:rsidP="00591BD4">
      <w:pPr>
        <w:spacing w:before="240" w:after="0" w:line="276" w:lineRule="auto"/>
        <w:rPr>
          <w:b/>
          <w:i/>
          <w:sz w:val="24"/>
          <w:lang w:val="ro-RO"/>
        </w:rPr>
      </w:pPr>
    </w:p>
    <w:p w:rsidR="00591BD4" w:rsidRDefault="00591BD4" w:rsidP="00591BD4">
      <w:pPr>
        <w:spacing w:before="240" w:line="276" w:lineRule="auto"/>
        <w:rPr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* Listă măsuri propuse </w:t>
      </w:r>
      <w:r>
        <w:rPr>
          <w:i/>
          <w:sz w:val="24"/>
          <w:lang w:val="ro-RO"/>
        </w:rPr>
        <w:t xml:space="preserve">(detaliere în </w:t>
      </w:r>
      <w:hyperlink r:id="rId6" w:history="1">
        <w:r w:rsidRPr="00591BD4">
          <w:rPr>
            <w:rStyle w:val="Hyperlink"/>
            <w:i/>
            <w:sz w:val="24"/>
            <w:lang w:val="ro-RO"/>
          </w:rPr>
          <w:t>document</w:t>
        </w:r>
      </w:hyperlink>
      <w:r>
        <w:rPr>
          <w:i/>
          <w:sz w:val="24"/>
          <w:lang w:val="ro-RO"/>
        </w:rPr>
        <w:t xml:space="preserve">) </w:t>
      </w:r>
    </w:p>
    <w:p w:rsidR="00591BD4" w:rsidRPr="00591BD4" w:rsidRDefault="00591BD4" w:rsidP="00591BD4">
      <w:pPr>
        <w:jc w:val="both"/>
        <w:rPr>
          <w:rFonts w:eastAsia="Trebuchet MS" w:cstheme="minorHAnsi"/>
          <w:bCs/>
          <w:szCs w:val="24"/>
          <w:lang w:val="ro-RO"/>
        </w:rPr>
      </w:pPr>
      <w:r w:rsidRPr="00591BD4">
        <w:rPr>
          <w:rFonts w:cstheme="minorHAnsi"/>
          <w:bCs/>
          <w:szCs w:val="24"/>
          <w:lang w:val="ro-RO"/>
        </w:rPr>
        <w:t>1.</w:t>
      </w:r>
      <w:r w:rsidRPr="00591BD4">
        <w:rPr>
          <w:rFonts w:cstheme="minorHAnsi"/>
          <w:szCs w:val="24"/>
          <w:lang w:val="ro-RO"/>
        </w:rPr>
        <w:t xml:space="preserve"> </w:t>
      </w:r>
      <w:r w:rsidRPr="00591BD4">
        <w:rPr>
          <w:rFonts w:eastAsia="Trebuchet MS" w:cstheme="minorHAnsi"/>
          <w:bCs/>
          <w:szCs w:val="24"/>
          <w:lang w:val="ro-RO"/>
        </w:rPr>
        <w:t>Modificarea procedurii de decontare a indemnizațiilor aferente concediilor medicale</w:t>
      </w:r>
    </w:p>
    <w:p w:rsidR="00591BD4" w:rsidRPr="00591BD4" w:rsidRDefault="00591BD4" w:rsidP="00591BD4">
      <w:pPr>
        <w:rPr>
          <w:rFonts w:eastAsia="Trebuchet MS" w:cstheme="minorHAnsi"/>
          <w:szCs w:val="24"/>
          <w:lang w:val="ro-RO"/>
        </w:rPr>
      </w:pPr>
      <w:r w:rsidRPr="00591BD4">
        <w:rPr>
          <w:rFonts w:cstheme="minorHAnsi"/>
          <w:bCs/>
          <w:szCs w:val="24"/>
          <w:lang w:val="ro-RO"/>
        </w:rPr>
        <w:t>2. Scutirea de sancțiuni pentru microîntreprinderi și corelarea birocrației cu talia firmei</w:t>
      </w:r>
    </w:p>
    <w:p w:rsidR="00591BD4" w:rsidRPr="00591BD4" w:rsidRDefault="00591BD4" w:rsidP="00591BD4">
      <w:pPr>
        <w:jc w:val="both"/>
        <w:rPr>
          <w:rFonts w:eastAsia="Trebuchet MS" w:cstheme="minorHAnsi"/>
          <w:color w:val="000000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3.</w:t>
      </w:r>
      <w:r w:rsidRPr="00591BD4">
        <w:rPr>
          <w:rFonts w:eastAsia="Trebuchet MS" w:cstheme="minorHAnsi"/>
          <w:szCs w:val="24"/>
          <w:lang w:val="ro-RO"/>
        </w:rPr>
        <w:t xml:space="preserve"> </w:t>
      </w:r>
      <w:r w:rsidRPr="00591BD4">
        <w:rPr>
          <w:rFonts w:eastAsia="Trebuchet MS" w:cstheme="minorHAnsi"/>
          <w:color w:val="000000"/>
          <w:szCs w:val="24"/>
          <w:lang w:val="ro-RO"/>
        </w:rPr>
        <w:t>Eliminarea analizei de risc la securitate fizică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4.</w:t>
      </w:r>
      <w:r w:rsidRPr="00591BD4">
        <w:rPr>
          <w:rFonts w:eastAsia="Trebuchet MS" w:cstheme="minorHAnsi"/>
          <w:szCs w:val="24"/>
          <w:lang w:val="ro-RO"/>
        </w:rPr>
        <w:t xml:space="preserve"> Eliminarea obligației declarării sediilor secundare la ANAF, obținerea CIF pentru puncte de lucru și plata diferențiată a impozitului pe venitul din salarii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5.</w:t>
      </w:r>
      <w:r w:rsidRPr="00591BD4">
        <w:rPr>
          <w:rFonts w:eastAsia="Trebuchet MS" w:cstheme="minorHAnsi"/>
          <w:szCs w:val="24"/>
          <w:lang w:val="ro-RO"/>
        </w:rPr>
        <w:t xml:space="preserve"> Eliminarea obligativității tranzacțiilor firmelor prin contul de trezorerie în relația cu instituțiile statului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lastRenderedPageBreak/>
        <w:t>6.</w:t>
      </w:r>
      <w:r w:rsidRPr="00591BD4">
        <w:rPr>
          <w:rFonts w:eastAsia="Trebuchet MS" w:cstheme="minorHAnsi"/>
          <w:szCs w:val="24"/>
          <w:lang w:val="ro-RO"/>
        </w:rPr>
        <w:t xml:space="preserve"> Eliminarea deductibilității limitate de 50% a combustibilului pentru autoturisme</w:t>
      </w:r>
    </w:p>
    <w:p w:rsidR="00591BD4" w:rsidRPr="00591BD4" w:rsidRDefault="00591BD4" w:rsidP="00591BD4">
      <w:pPr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7.</w:t>
      </w:r>
      <w:r w:rsidRPr="00591BD4">
        <w:rPr>
          <w:rFonts w:eastAsia="Trebuchet MS" w:cstheme="minorHAnsi"/>
          <w:szCs w:val="24"/>
          <w:lang w:val="ro-RO"/>
        </w:rPr>
        <w:t xml:space="preserve"> Eliminarea foii de parcurs ca document obligatoriu în deductibilitatea combustibilului</w:t>
      </w:r>
    </w:p>
    <w:p w:rsidR="00591BD4" w:rsidRPr="00591BD4" w:rsidRDefault="00591BD4" w:rsidP="00591BD4">
      <w:pPr>
        <w:jc w:val="both"/>
        <w:rPr>
          <w:rFonts w:eastAsia="Trebuchet MS" w:cstheme="minorHAnsi"/>
          <w:color w:val="000000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8. </w:t>
      </w:r>
      <w:r w:rsidRPr="00591BD4">
        <w:rPr>
          <w:rFonts w:eastAsia="Trebuchet MS" w:cstheme="minorHAnsi"/>
          <w:color w:val="000000"/>
          <w:szCs w:val="24"/>
          <w:lang w:val="ro-RO"/>
        </w:rPr>
        <w:t>Eliminarea declarării posturilor vacante la ANOFM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iCs/>
          <w:szCs w:val="24"/>
          <w:lang w:val="ro-RO"/>
        </w:rPr>
        <w:t>9</w:t>
      </w:r>
      <w:r w:rsidRPr="00591BD4">
        <w:rPr>
          <w:rFonts w:eastAsia="Trebuchet MS" w:cstheme="minorHAnsi"/>
          <w:bCs/>
          <w:i/>
          <w:szCs w:val="24"/>
          <w:lang w:val="ro-RO"/>
        </w:rPr>
        <w:t>.</w:t>
      </w:r>
      <w:r w:rsidRPr="00591BD4">
        <w:rPr>
          <w:rFonts w:eastAsia="Trebuchet MS" w:cstheme="minorHAnsi"/>
          <w:i/>
          <w:szCs w:val="24"/>
          <w:lang w:val="ro-RO"/>
        </w:rPr>
        <w:t xml:space="preserve"> </w:t>
      </w:r>
      <w:r w:rsidRPr="00591BD4">
        <w:rPr>
          <w:rFonts w:eastAsia="Trebuchet MS" w:cstheme="minorHAnsi"/>
          <w:szCs w:val="24"/>
          <w:lang w:val="ro-RO"/>
        </w:rPr>
        <w:t>Simplificarea și digitalizarea procedurii de înființare a firmelor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10. </w:t>
      </w:r>
      <w:r w:rsidRPr="00591BD4">
        <w:rPr>
          <w:rFonts w:eastAsia="Trebuchet MS" w:cstheme="minorHAnsi"/>
          <w:szCs w:val="24"/>
          <w:lang w:val="ro-RO"/>
        </w:rPr>
        <w:t>Simplificarea închiderii firmelor</w:t>
      </w:r>
    </w:p>
    <w:p w:rsidR="00591BD4" w:rsidRPr="00591BD4" w:rsidRDefault="00591BD4" w:rsidP="00591BD4">
      <w:pPr>
        <w:jc w:val="both"/>
        <w:rPr>
          <w:rFonts w:cstheme="minorHAnsi"/>
          <w:szCs w:val="24"/>
          <w:lang w:val="ro-RO"/>
        </w:rPr>
      </w:pPr>
      <w:r w:rsidRPr="00591BD4">
        <w:rPr>
          <w:rFonts w:eastAsia="Trebuchet MS" w:cstheme="minorHAnsi"/>
          <w:bCs/>
          <w:color w:val="000000"/>
          <w:szCs w:val="24"/>
          <w:lang w:val="ro-RO"/>
        </w:rPr>
        <w:t xml:space="preserve">11. </w:t>
      </w:r>
      <w:r w:rsidRPr="00591BD4">
        <w:rPr>
          <w:rFonts w:cstheme="minorHAnsi"/>
          <w:szCs w:val="24"/>
          <w:lang w:val="ro-RO"/>
        </w:rPr>
        <w:t>Creșterea plafonului de la 50.000 euro la 100.000 euro pentru obligația de dotare cu cititoare de card - POS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12.</w:t>
      </w:r>
      <w:r w:rsidRPr="00591BD4">
        <w:rPr>
          <w:rFonts w:eastAsia="Trebuchet MS" w:cstheme="minorHAnsi"/>
          <w:szCs w:val="24"/>
          <w:lang w:val="ro-RO"/>
        </w:rPr>
        <w:t xml:space="preserve"> </w:t>
      </w:r>
      <w:r w:rsidRPr="00591BD4">
        <w:rPr>
          <w:rFonts w:cstheme="minorHAnsi"/>
          <w:szCs w:val="24"/>
          <w:lang w:val="ro-RO"/>
        </w:rPr>
        <w:t>Eliminarea procurii notariale necesare în îndeplinirea obligațiilor declarative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13. </w:t>
      </w:r>
      <w:r w:rsidRPr="00591BD4">
        <w:rPr>
          <w:rFonts w:eastAsia="Trebuchet MS" w:cstheme="minorHAnsi"/>
          <w:szCs w:val="24"/>
          <w:lang w:val="ro-RO"/>
        </w:rPr>
        <w:t>Eliminarea declarării reducerilor comerciale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14.</w:t>
      </w:r>
      <w:r w:rsidRPr="00591BD4">
        <w:rPr>
          <w:rFonts w:eastAsia="Trebuchet MS" w:cstheme="minorHAnsi"/>
          <w:szCs w:val="24"/>
          <w:lang w:val="ro-RO"/>
        </w:rPr>
        <w:t xml:space="preserve"> Eliminarea obligației privind păstrarea contractelor individuale de muncă la punctele de lucru din legislația de reducere a muncii la negru</w:t>
      </w:r>
    </w:p>
    <w:p w:rsidR="00591BD4" w:rsidRPr="00591BD4" w:rsidRDefault="00591BD4" w:rsidP="00591BD4">
      <w:pPr>
        <w:jc w:val="both"/>
        <w:rPr>
          <w:rFonts w:cstheme="minorHAnsi"/>
          <w:szCs w:val="24"/>
          <w:lang w:val="ro-RO"/>
        </w:rPr>
      </w:pPr>
      <w:r w:rsidRPr="00591BD4">
        <w:rPr>
          <w:rFonts w:eastAsia="Trebuchet MS" w:cstheme="minorHAnsi"/>
          <w:bCs/>
          <w:color w:val="000000"/>
          <w:szCs w:val="24"/>
          <w:lang w:val="ro-RO"/>
        </w:rPr>
        <w:t xml:space="preserve">15. </w:t>
      </w:r>
      <w:r w:rsidRPr="00591BD4">
        <w:rPr>
          <w:rFonts w:cstheme="minorHAnsi"/>
          <w:szCs w:val="24"/>
          <w:lang w:val="ro-RO"/>
        </w:rPr>
        <w:t>Eliminarea sancțiunilor pentru lipsa Registrului Unic de Control (RUC)</w:t>
      </w:r>
    </w:p>
    <w:p w:rsidR="00591BD4" w:rsidRPr="00591BD4" w:rsidRDefault="00591BD4" w:rsidP="00591BD4">
      <w:pPr>
        <w:jc w:val="both"/>
        <w:rPr>
          <w:rFonts w:cstheme="minorHAnsi"/>
          <w:sz w:val="20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16. </w:t>
      </w:r>
      <w:r w:rsidRPr="00591BD4">
        <w:rPr>
          <w:rFonts w:cstheme="minorHAnsi"/>
          <w:szCs w:val="24"/>
          <w:lang w:val="ro-RO"/>
        </w:rPr>
        <w:t>Revizuirea legislației privind casele de marcat</w:t>
      </w:r>
    </w:p>
    <w:p w:rsidR="00591BD4" w:rsidRPr="00591BD4" w:rsidRDefault="00591BD4" w:rsidP="00591BD4">
      <w:pPr>
        <w:jc w:val="both"/>
        <w:rPr>
          <w:rFonts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17. </w:t>
      </w:r>
      <w:r w:rsidRPr="00591BD4">
        <w:rPr>
          <w:rFonts w:cstheme="minorHAnsi"/>
          <w:szCs w:val="24"/>
          <w:lang w:val="ro-RO"/>
        </w:rPr>
        <w:t>Revizuirea autorizațiilor, avizelor și licențelor conform Anexei 1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18. </w:t>
      </w:r>
      <w:r w:rsidRPr="00591BD4">
        <w:rPr>
          <w:rFonts w:cstheme="minorHAnsi"/>
          <w:szCs w:val="24"/>
          <w:lang w:val="ro-RO"/>
        </w:rPr>
        <w:t>Actualizarea legislației prin revizuirea actelor normative care impactează mediul de afaceri conform Anexei 2</w:t>
      </w:r>
    </w:p>
    <w:p w:rsidR="00591BD4" w:rsidRPr="00591BD4" w:rsidRDefault="00591BD4" w:rsidP="00591BD4">
      <w:pPr>
        <w:jc w:val="both"/>
        <w:rPr>
          <w:rFonts w:eastAsia="Trebuchet MS" w:cstheme="minorHAnsi"/>
          <w:bCs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19. Simplificarea accesului angajatorilor la obținerea subvenției de șomaj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szCs w:val="24"/>
          <w:lang w:val="ro-RO"/>
        </w:rPr>
        <w:t>20. Modificarea legislației privind starea de inactivitate și înscrierea inactivității în cazierul fiscal al contribuabililor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21. </w:t>
      </w:r>
      <w:r w:rsidRPr="00591BD4">
        <w:rPr>
          <w:rFonts w:eastAsia="Trebuchet MS" w:cstheme="minorHAnsi"/>
          <w:szCs w:val="24"/>
          <w:lang w:val="ro-RO"/>
        </w:rPr>
        <w:t>Eliminarea obligativității pentru societățile cu capital privat de a raporta situația sumelor restante la CPPI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highlight w:val="yellow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22. </w:t>
      </w:r>
      <w:r w:rsidRPr="00591BD4">
        <w:rPr>
          <w:rFonts w:eastAsia="Trebuchet MS" w:cstheme="minorHAnsi"/>
          <w:szCs w:val="24"/>
          <w:lang w:val="ro-RO"/>
        </w:rPr>
        <w:t>Adăugarea si actualizarea codurilor CAEN conform nevoilor și solicitărilor mediul antreprenorial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23. </w:t>
      </w:r>
      <w:r w:rsidRPr="00591BD4">
        <w:rPr>
          <w:rFonts w:eastAsia="Trebuchet MS" w:cstheme="minorHAnsi"/>
          <w:szCs w:val="24"/>
          <w:lang w:val="ro-RO"/>
        </w:rPr>
        <w:t>Modificarea legislației privind drepturile de autor în privința organismelor de gestiune colectivă</w:t>
      </w:r>
    </w:p>
    <w:p w:rsidR="00591BD4" w:rsidRPr="00591BD4" w:rsidRDefault="00591BD4" w:rsidP="00591BD4">
      <w:pPr>
        <w:rPr>
          <w:rFonts w:eastAsia="Trebuchet MS" w:cstheme="minorHAnsi"/>
          <w:bCs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>24. Simplificarea regimul declarativ derogatoriu la ANAF pentru firmele suspendate temporar la ONRC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25. </w:t>
      </w:r>
      <w:r w:rsidRPr="00591BD4">
        <w:rPr>
          <w:rFonts w:eastAsia="Trebuchet MS" w:cstheme="minorHAnsi"/>
          <w:szCs w:val="24"/>
          <w:lang w:val="ro-RO"/>
        </w:rPr>
        <w:t>Eliminarea Registrului de Evidență Fiscală în format fizic pentru persoanele juridice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lastRenderedPageBreak/>
        <w:t xml:space="preserve">26. </w:t>
      </w:r>
      <w:r w:rsidRPr="00591BD4">
        <w:rPr>
          <w:rFonts w:eastAsia="Trebuchet MS" w:cstheme="minorHAnsi"/>
          <w:szCs w:val="24"/>
          <w:lang w:val="ro-RO"/>
        </w:rPr>
        <w:t xml:space="preserve">Mutarea obligativității înregistrării contractelor de internship de la AJOFM la ITM/Revisal </w:t>
      </w:r>
    </w:p>
    <w:p w:rsidR="00591BD4" w:rsidRPr="00591BD4" w:rsidRDefault="00591BD4" w:rsidP="00591BD4">
      <w:pPr>
        <w:jc w:val="both"/>
        <w:rPr>
          <w:rFonts w:eastAsia="Trebuchet MS" w:cstheme="minorHAnsi"/>
          <w:szCs w:val="24"/>
          <w:highlight w:val="yellow"/>
          <w:lang w:val="ro-RO"/>
        </w:rPr>
      </w:pPr>
      <w:r w:rsidRPr="00591BD4">
        <w:rPr>
          <w:rFonts w:eastAsia="Trebuchet MS" w:cstheme="minorHAnsi"/>
          <w:bCs/>
          <w:szCs w:val="24"/>
          <w:lang w:val="ro-RO"/>
        </w:rPr>
        <w:t xml:space="preserve">27. </w:t>
      </w:r>
      <w:r w:rsidRPr="00591BD4">
        <w:rPr>
          <w:rFonts w:eastAsia="Trebuchet MS" w:cstheme="minorHAnsi"/>
          <w:szCs w:val="24"/>
          <w:lang w:val="ro-RO"/>
        </w:rPr>
        <w:t xml:space="preserve">Eliminarea Registrului entităților/unităților de Cult - condiție pentru deductibilitatea sponsorizării din impozit </w:t>
      </w:r>
    </w:p>
    <w:p w:rsidR="00591BD4" w:rsidRPr="00591BD4" w:rsidRDefault="00591BD4" w:rsidP="00591BD4">
      <w:pPr>
        <w:spacing w:before="240" w:after="0" w:line="276" w:lineRule="auto"/>
        <w:rPr>
          <w:sz w:val="24"/>
          <w:lang w:val="ro-RO"/>
        </w:rPr>
      </w:pPr>
    </w:p>
    <w:sectPr w:rsidR="00591BD4" w:rsidRPr="00591BD4" w:rsidSect="0059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D4" w:rsidRDefault="00591BD4" w:rsidP="00591BD4">
      <w:pPr>
        <w:spacing w:after="0" w:line="240" w:lineRule="auto"/>
      </w:pPr>
      <w:r>
        <w:separator/>
      </w:r>
    </w:p>
  </w:endnote>
  <w:endnote w:type="continuationSeparator" w:id="0">
    <w:p w:rsidR="00591BD4" w:rsidRDefault="00591BD4" w:rsidP="005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4" w:rsidRDefault="00591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4" w:rsidRDefault="00591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4" w:rsidRDefault="0059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D4" w:rsidRDefault="00591BD4" w:rsidP="00591BD4">
      <w:pPr>
        <w:spacing w:after="0" w:line="240" w:lineRule="auto"/>
      </w:pPr>
      <w:r>
        <w:separator/>
      </w:r>
    </w:p>
  </w:footnote>
  <w:footnote w:type="continuationSeparator" w:id="0">
    <w:p w:rsidR="00591BD4" w:rsidRDefault="00591BD4" w:rsidP="0059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4" w:rsidRDefault="00591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9865"/>
      <w:docPartObj>
        <w:docPartGallery w:val="Watermarks"/>
        <w:docPartUnique/>
      </w:docPartObj>
    </w:sdtPr>
    <w:sdtContent>
      <w:p w:rsidR="00591BD4" w:rsidRDefault="00591BD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D4" w:rsidRDefault="00591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D4"/>
    <w:rsid w:val="001E0105"/>
    <w:rsid w:val="004145CA"/>
    <w:rsid w:val="005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FB4E28"/>
  <w15:chartTrackingRefBased/>
  <w15:docId w15:val="{8D5518B1-515C-4276-B608-B9429DF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D4"/>
  </w:style>
  <w:style w:type="paragraph" w:styleId="Footer">
    <w:name w:val="footer"/>
    <w:basedOn w:val="Normal"/>
    <w:link w:val="FooterChar"/>
    <w:uiPriority w:val="99"/>
    <w:unhideWhenUsed/>
    <w:rsid w:val="00591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ie.gov.ro/images/transparenta-decizionala/2021%20Memo%20Debir/Memo%2027.07.2021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Manea</dc:creator>
  <cp:keywords/>
  <dc:description/>
  <cp:lastModifiedBy>Raluca Manea</cp:lastModifiedBy>
  <cp:revision>2</cp:revision>
  <dcterms:created xsi:type="dcterms:W3CDTF">2021-09-06T23:23:00Z</dcterms:created>
  <dcterms:modified xsi:type="dcterms:W3CDTF">2021-09-06T23:48:00Z</dcterms:modified>
</cp:coreProperties>
</file>